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A" w:rsidRDefault="00DE14BF" w:rsidP="003A672B">
      <w:pPr>
        <w:jc w:val="center"/>
      </w:pPr>
      <w:r>
        <w:t>Штатив</w:t>
      </w:r>
      <w:r w:rsidR="005510AE" w:rsidRPr="00B63F71">
        <w:t xml:space="preserve"> ДМ-</w:t>
      </w:r>
      <w:r w:rsidR="00134F91">
        <w:t>6</w:t>
      </w:r>
      <w:r w:rsidR="005510AE" w:rsidRPr="00B63F71">
        <w:t>-0</w:t>
      </w:r>
      <w:r>
        <w:t>14</w:t>
      </w:r>
      <w:r w:rsidR="005510AE" w:rsidRPr="00B63F71">
        <w:t>-0</w:t>
      </w:r>
      <w:r w:rsidR="001E33E7">
        <w:t>4</w:t>
      </w:r>
    </w:p>
    <w:p w:rsidR="003A672B" w:rsidRPr="00B63F71" w:rsidRDefault="003A672B" w:rsidP="003A672B">
      <w:pPr>
        <w:jc w:val="center"/>
        <w:rPr>
          <w:b/>
        </w:rPr>
      </w:pPr>
    </w:p>
    <w:tbl>
      <w:tblPr>
        <w:tblW w:w="107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03"/>
        <w:gridCol w:w="1131"/>
      </w:tblGrid>
      <w:tr w:rsidR="00884077" w:rsidRPr="00B63F71" w:rsidTr="00AE41C8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gramEnd"/>
            <w:r w:rsidRPr="00B63F7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AE41C8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E41C8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E41C8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E41C8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AD4121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E41C8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E41C8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884077" w:rsidRPr="00B63F71" w:rsidRDefault="00DE14BF" w:rsidP="00430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Штатив для переливания</w:t>
            </w:r>
            <w:r w:rsidR="007E1CCA">
              <w:rPr>
                <w:sz w:val="20"/>
                <w:szCs w:val="20"/>
              </w:rPr>
              <w:t xml:space="preserve"> </w:t>
            </w:r>
            <w:r w:rsidR="00977EC5" w:rsidRPr="00977EC5">
              <w:rPr>
                <w:sz w:val="20"/>
                <w:szCs w:val="20"/>
              </w:rPr>
              <w:t>с четырьмя крючками</w:t>
            </w:r>
            <w:r w:rsidR="001E33E7">
              <w:rPr>
                <w:sz w:val="20"/>
                <w:szCs w:val="20"/>
              </w:rPr>
              <w:t xml:space="preserve"> и</w:t>
            </w:r>
            <w:r w:rsidR="001E33E7" w:rsidRPr="0049123B">
              <w:rPr>
                <w:sz w:val="20"/>
                <w:szCs w:val="20"/>
              </w:rPr>
              <w:t xml:space="preserve"> полкой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E41C8" w:rsidRPr="00B63F71" w:rsidTr="00AE41C8">
        <w:tc>
          <w:tcPr>
            <w:tcW w:w="649" w:type="dxa"/>
          </w:tcPr>
          <w:p w:rsidR="00AE41C8" w:rsidRPr="00B63F71" w:rsidRDefault="00AE41C8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021" w:type="dxa"/>
          </w:tcPr>
          <w:p w:rsidR="00AE41C8" w:rsidRPr="00B63F71" w:rsidRDefault="00AE41C8" w:rsidP="00AD4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Штатив с</w:t>
            </w:r>
            <w:r w:rsidRPr="00DE14BF">
              <w:rPr>
                <w:sz w:val="20"/>
                <w:szCs w:val="20"/>
              </w:rPr>
              <w:t xml:space="preserve">остоит из </w:t>
            </w:r>
            <w:r>
              <w:rPr>
                <w:sz w:val="20"/>
                <w:szCs w:val="20"/>
                <w:lang w:val="en-US"/>
              </w:rPr>
              <w:t>Z</w:t>
            </w:r>
            <w:r>
              <w:rPr>
                <w:sz w:val="20"/>
                <w:szCs w:val="20"/>
              </w:rPr>
              <w:t>-образного</w:t>
            </w:r>
            <w:r w:rsidRPr="00DE14BF">
              <w:rPr>
                <w:sz w:val="20"/>
                <w:szCs w:val="20"/>
              </w:rPr>
              <w:t xml:space="preserve"> основания</w:t>
            </w:r>
            <w:r>
              <w:rPr>
                <w:sz w:val="20"/>
                <w:szCs w:val="20"/>
              </w:rPr>
              <w:t xml:space="preserve"> </w:t>
            </w:r>
            <w:r w:rsidRPr="00DE14BF">
              <w:rPr>
                <w:sz w:val="20"/>
                <w:szCs w:val="20"/>
              </w:rPr>
              <w:t>и телескопической стойки, выполнен</w:t>
            </w:r>
            <w:r w:rsidR="00AD4121">
              <w:rPr>
                <w:sz w:val="20"/>
                <w:szCs w:val="20"/>
              </w:rPr>
              <w:t>ы</w:t>
            </w:r>
            <w:r w:rsidRPr="00DE14BF">
              <w:rPr>
                <w:sz w:val="20"/>
                <w:szCs w:val="20"/>
              </w:rPr>
              <w:t xml:space="preserve"> из нержавеющей стали марки AISI 304 (08Х18Н10), профильным сечением 20х20мм,  круглым сечением 16мм, 20мм.</w:t>
            </w:r>
            <w:r>
              <w:rPr>
                <w:sz w:val="20"/>
                <w:szCs w:val="20"/>
              </w:rPr>
              <w:t xml:space="preserve"> Имеет колесные опоры Ø</w:t>
            </w:r>
            <w:r w:rsidRPr="004C6BDF">
              <w:rPr>
                <w:sz w:val="20"/>
                <w:szCs w:val="20"/>
              </w:rPr>
              <w:t xml:space="preserve">50мм, </w:t>
            </w:r>
            <w:r w:rsidRPr="004E60B1">
              <w:rPr>
                <w:sz w:val="20"/>
                <w:szCs w:val="20"/>
              </w:rPr>
              <w:t>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AE41C8" w:rsidRPr="00B63F71" w:rsidRDefault="00AE41C8" w:rsidP="002B082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E41C8" w:rsidRPr="00B63F71" w:rsidRDefault="00AE41C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E41C8" w:rsidRPr="00B63F71" w:rsidRDefault="00AE41C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E41C8" w:rsidRPr="00B63F71" w:rsidRDefault="00AE41C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E41C8" w:rsidRPr="00B63F71" w:rsidTr="00AE41C8">
        <w:tc>
          <w:tcPr>
            <w:tcW w:w="649" w:type="dxa"/>
          </w:tcPr>
          <w:p w:rsidR="00AE41C8" w:rsidRPr="00B63F71" w:rsidRDefault="00AE41C8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AE41C8" w:rsidRPr="00B63F71" w:rsidRDefault="00AE41C8" w:rsidP="002B082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10" w:type="dxa"/>
          </w:tcPr>
          <w:p w:rsidR="00AE41C8" w:rsidRPr="00481154" w:rsidRDefault="00AE41C8" w:rsidP="00A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481154">
              <w:rPr>
                <w:sz w:val="20"/>
                <w:szCs w:val="20"/>
              </w:rPr>
              <w:t xml:space="preserve">0 </w:t>
            </w:r>
            <w:proofErr w:type="spellStart"/>
            <w:r w:rsidRPr="00481154">
              <w:rPr>
                <w:sz w:val="20"/>
                <w:szCs w:val="20"/>
              </w:rPr>
              <w:t>х</w:t>
            </w:r>
            <w:proofErr w:type="spellEnd"/>
            <w:r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</w:t>
            </w:r>
            <w:r w:rsidRPr="00481154">
              <w:rPr>
                <w:sz w:val="20"/>
                <w:szCs w:val="20"/>
              </w:rPr>
              <w:t xml:space="preserve"> </w:t>
            </w:r>
            <w:proofErr w:type="spellStart"/>
            <w:r w:rsidRPr="00481154">
              <w:rPr>
                <w:sz w:val="20"/>
                <w:szCs w:val="20"/>
              </w:rPr>
              <w:t>х</w:t>
            </w:r>
            <w:proofErr w:type="spellEnd"/>
            <w:r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1150/2050</w:t>
            </w:r>
            <w:r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AE41C8" w:rsidRPr="00B63F71" w:rsidRDefault="00AE41C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E41C8" w:rsidRPr="00B63F71" w:rsidRDefault="00AE41C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E41C8" w:rsidRPr="00B63F71" w:rsidRDefault="00AE41C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E41C8">
        <w:tc>
          <w:tcPr>
            <w:tcW w:w="649" w:type="dxa"/>
          </w:tcPr>
          <w:p w:rsidR="00884077" w:rsidRPr="00B63F71" w:rsidRDefault="0088407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884077" w:rsidRPr="00B63F71" w:rsidRDefault="00DE14BF" w:rsidP="00934AB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Штатив должен</w:t>
            </w:r>
            <w:r w:rsidR="00884077" w:rsidRPr="00B63F71">
              <w:rPr>
                <w:color w:val="000000"/>
                <w:sz w:val="20"/>
                <w:szCs w:val="20"/>
              </w:rPr>
              <w:t xml:space="preserve"> соответств</w:t>
            </w:r>
            <w:r w:rsidR="00934AB6">
              <w:rPr>
                <w:color w:val="000000"/>
                <w:sz w:val="20"/>
                <w:szCs w:val="20"/>
              </w:rPr>
              <w:t>ова</w:t>
            </w:r>
            <w:r w:rsidR="00884077" w:rsidRPr="00B63F71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ь</w:t>
            </w:r>
            <w:r w:rsidR="00884077" w:rsidRPr="00B63F71">
              <w:rPr>
                <w:color w:val="000000"/>
                <w:sz w:val="20"/>
                <w:szCs w:val="20"/>
              </w:rPr>
              <w:t xml:space="preserve"> требованиям ГОСТ </w:t>
            </w:r>
            <w:proofErr w:type="gramStart"/>
            <w:r w:rsidR="00884077"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884077"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410" w:type="dxa"/>
          </w:tcPr>
          <w:p w:rsidR="00884077" w:rsidRPr="00B63F71" w:rsidRDefault="00DE14BF" w:rsidP="001550F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E41C8">
        <w:tc>
          <w:tcPr>
            <w:tcW w:w="649" w:type="dxa"/>
          </w:tcPr>
          <w:p w:rsidR="00884077" w:rsidRPr="00B63F71" w:rsidRDefault="0088407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884077" w:rsidRPr="00B63F71" w:rsidRDefault="001550F6" w:rsidP="0040215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Все швы должны быть проварены и зашлифованы</w:t>
            </w:r>
            <w:r w:rsidR="00402152"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конструкция жесткая цельносварная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E41C8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6</w:t>
            </w:r>
          </w:p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884077" w:rsidRPr="00B63F71" w:rsidRDefault="00134F91" w:rsidP="00DE14BF">
            <w:pPr>
              <w:rPr>
                <w:color w:val="000000"/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>Все элементы изделия выполнены из нержавеющей стали марки AISI 304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5C6C63">
              <w:rPr>
                <w:color w:val="000000"/>
                <w:sz w:val="20"/>
                <w:szCs w:val="20"/>
              </w:rPr>
              <w:t>Материал дол</w:t>
            </w:r>
            <w:r w:rsidR="007E1CCA"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 xml:space="preserve">ен быть устойчив </w:t>
            </w:r>
            <w:r w:rsidRPr="00134F91">
              <w:rPr>
                <w:color w:val="000000"/>
                <w:sz w:val="20"/>
                <w:szCs w:val="20"/>
              </w:rPr>
              <w:t>к действию слабоагрессивных сред и</w:t>
            </w:r>
            <w:r>
              <w:rPr>
                <w:color w:val="000000"/>
                <w:sz w:val="20"/>
                <w:szCs w:val="20"/>
              </w:rPr>
              <w:t xml:space="preserve"> облада</w:t>
            </w:r>
            <w:r w:rsidRPr="00134F91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134F91">
              <w:rPr>
                <w:color w:val="000000"/>
                <w:sz w:val="20"/>
                <w:szCs w:val="20"/>
              </w:rPr>
              <w:t xml:space="preserve"> повышенной термостойкостью, коррозионно</w:t>
            </w:r>
            <w:r w:rsidR="00402152">
              <w:rPr>
                <w:color w:val="000000"/>
                <w:sz w:val="20"/>
                <w:szCs w:val="20"/>
              </w:rPr>
              <w:t xml:space="preserve">й </w:t>
            </w:r>
            <w:r w:rsidRPr="00134F91">
              <w:rPr>
                <w:color w:val="000000"/>
                <w:sz w:val="20"/>
                <w:szCs w:val="20"/>
              </w:rPr>
              <w:t xml:space="preserve">стойкостью, влагостойкостью. </w:t>
            </w:r>
          </w:p>
        </w:tc>
        <w:tc>
          <w:tcPr>
            <w:tcW w:w="2410" w:type="dxa"/>
          </w:tcPr>
          <w:p w:rsidR="00884077" w:rsidRPr="00B63F71" w:rsidRDefault="00DE14BF" w:rsidP="001550F6">
            <w:pPr>
              <w:rPr>
                <w:color w:val="000000"/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33E7" w:rsidRPr="00B63F71" w:rsidTr="00AE41C8">
        <w:tc>
          <w:tcPr>
            <w:tcW w:w="649" w:type="dxa"/>
          </w:tcPr>
          <w:p w:rsidR="001E33E7" w:rsidRPr="00B63F71" w:rsidRDefault="001E33E7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</w:t>
            </w:r>
          </w:p>
        </w:tc>
        <w:tc>
          <w:tcPr>
            <w:tcW w:w="5021" w:type="dxa"/>
          </w:tcPr>
          <w:p w:rsidR="001E33E7" w:rsidRPr="00B63F71" w:rsidRDefault="001E33E7" w:rsidP="00AD4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</w:t>
            </w:r>
            <w:r w:rsidRPr="00B63F71">
              <w:rPr>
                <w:sz w:val="20"/>
                <w:szCs w:val="20"/>
              </w:rPr>
              <w:t xml:space="preserve"> из</w:t>
            </w:r>
            <w:r w:rsidRPr="00134F91">
              <w:rPr>
                <w:color w:val="000000"/>
                <w:sz w:val="20"/>
                <w:szCs w:val="20"/>
              </w:rPr>
              <w:t xml:space="preserve"> нержавеющей стали марки AISI 304</w:t>
            </w:r>
            <w:r w:rsidRPr="00B63F7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отбортовкой</w:t>
            </w:r>
            <w:proofErr w:type="spellEnd"/>
            <w:r>
              <w:rPr>
                <w:sz w:val="20"/>
                <w:szCs w:val="20"/>
              </w:rPr>
              <w:t xml:space="preserve"> по периметру высотой </w:t>
            </w:r>
            <w:r w:rsidR="00AD4121">
              <w:rPr>
                <w:sz w:val="20"/>
                <w:szCs w:val="20"/>
              </w:rPr>
              <w:t>не менее 14</w:t>
            </w:r>
            <w:r>
              <w:rPr>
                <w:sz w:val="20"/>
                <w:szCs w:val="20"/>
              </w:rPr>
              <w:t>мм</w:t>
            </w:r>
            <w:r w:rsidRPr="00B63F71">
              <w:rPr>
                <w:sz w:val="20"/>
                <w:szCs w:val="20"/>
              </w:rPr>
              <w:t>, максимальная распределенная нагрузка на полку</w:t>
            </w:r>
          </w:p>
        </w:tc>
        <w:tc>
          <w:tcPr>
            <w:tcW w:w="2410" w:type="dxa"/>
          </w:tcPr>
          <w:p w:rsidR="001E33E7" w:rsidRPr="00B63F71" w:rsidRDefault="001E33E7" w:rsidP="00001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5кг</w:t>
            </w:r>
          </w:p>
        </w:tc>
        <w:tc>
          <w:tcPr>
            <w:tcW w:w="850" w:type="dxa"/>
          </w:tcPr>
          <w:p w:rsidR="001E33E7" w:rsidRPr="00B63F71" w:rsidRDefault="001E33E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E33E7" w:rsidRPr="00B63F71" w:rsidRDefault="001E33E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33E7" w:rsidRPr="00B63F71" w:rsidRDefault="001E33E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AE41C8">
        <w:tc>
          <w:tcPr>
            <w:tcW w:w="649" w:type="dxa"/>
          </w:tcPr>
          <w:p w:rsidR="00B63F71" w:rsidRPr="00B63F71" w:rsidRDefault="00B63F71" w:rsidP="00C4640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AE41C8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AE41C8">
        <w:tc>
          <w:tcPr>
            <w:tcW w:w="649" w:type="dxa"/>
          </w:tcPr>
          <w:p w:rsid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AE41C8">
              <w:rPr>
                <w:sz w:val="20"/>
                <w:szCs w:val="20"/>
              </w:rPr>
              <w:t>8</w:t>
            </w:r>
          </w:p>
          <w:p w:rsidR="00F76DD2" w:rsidRPr="00B63F71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AD41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D58DB"/>
    <w:rsid w:val="000F1557"/>
    <w:rsid w:val="000F1DBE"/>
    <w:rsid w:val="000F7A0B"/>
    <w:rsid w:val="0011721E"/>
    <w:rsid w:val="00117A5E"/>
    <w:rsid w:val="00133F85"/>
    <w:rsid w:val="00134F91"/>
    <w:rsid w:val="001550F6"/>
    <w:rsid w:val="00157A18"/>
    <w:rsid w:val="00170064"/>
    <w:rsid w:val="00177F92"/>
    <w:rsid w:val="00186B75"/>
    <w:rsid w:val="00194A75"/>
    <w:rsid w:val="001A0EF2"/>
    <w:rsid w:val="001B14C6"/>
    <w:rsid w:val="001B7C96"/>
    <w:rsid w:val="001D066E"/>
    <w:rsid w:val="001E33E7"/>
    <w:rsid w:val="001F6918"/>
    <w:rsid w:val="002050A8"/>
    <w:rsid w:val="00215B61"/>
    <w:rsid w:val="00247AF8"/>
    <w:rsid w:val="00250A85"/>
    <w:rsid w:val="002A7D2F"/>
    <w:rsid w:val="002B4697"/>
    <w:rsid w:val="002D0E68"/>
    <w:rsid w:val="002E079A"/>
    <w:rsid w:val="002E4542"/>
    <w:rsid w:val="002E593E"/>
    <w:rsid w:val="002F5436"/>
    <w:rsid w:val="00307630"/>
    <w:rsid w:val="00352296"/>
    <w:rsid w:val="0036700C"/>
    <w:rsid w:val="00377CF4"/>
    <w:rsid w:val="003A672B"/>
    <w:rsid w:val="003B6BF9"/>
    <w:rsid w:val="003D5F37"/>
    <w:rsid w:val="003F0C82"/>
    <w:rsid w:val="003F1C02"/>
    <w:rsid w:val="00402152"/>
    <w:rsid w:val="00426B8E"/>
    <w:rsid w:val="00430948"/>
    <w:rsid w:val="004378D7"/>
    <w:rsid w:val="00457640"/>
    <w:rsid w:val="0046160F"/>
    <w:rsid w:val="00464C4E"/>
    <w:rsid w:val="00475616"/>
    <w:rsid w:val="0048401E"/>
    <w:rsid w:val="00484F93"/>
    <w:rsid w:val="004A70C9"/>
    <w:rsid w:val="004B5E7D"/>
    <w:rsid w:val="004D6372"/>
    <w:rsid w:val="004D6C2D"/>
    <w:rsid w:val="004E6785"/>
    <w:rsid w:val="00513B38"/>
    <w:rsid w:val="005174EC"/>
    <w:rsid w:val="005510AE"/>
    <w:rsid w:val="00564F1E"/>
    <w:rsid w:val="00590238"/>
    <w:rsid w:val="005C4E7C"/>
    <w:rsid w:val="005C5DEF"/>
    <w:rsid w:val="005C6C63"/>
    <w:rsid w:val="005D71AA"/>
    <w:rsid w:val="005F7B38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67406"/>
    <w:rsid w:val="00794E23"/>
    <w:rsid w:val="00795917"/>
    <w:rsid w:val="007A1F3A"/>
    <w:rsid w:val="007E1CCA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324B9"/>
    <w:rsid w:val="00934AB6"/>
    <w:rsid w:val="00947F96"/>
    <w:rsid w:val="009561E2"/>
    <w:rsid w:val="00976527"/>
    <w:rsid w:val="00977EC5"/>
    <w:rsid w:val="00984E95"/>
    <w:rsid w:val="009967B8"/>
    <w:rsid w:val="009B7504"/>
    <w:rsid w:val="009B7780"/>
    <w:rsid w:val="009C6A3F"/>
    <w:rsid w:val="009D1BD5"/>
    <w:rsid w:val="009D3E7F"/>
    <w:rsid w:val="009D483A"/>
    <w:rsid w:val="00A10F4F"/>
    <w:rsid w:val="00A13C72"/>
    <w:rsid w:val="00A1481C"/>
    <w:rsid w:val="00A17145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D0030"/>
    <w:rsid w:val="00AD4121"/>
    <w:rsid w:val="00AE41C8"/>
    <w:rsid w:val="00AF47C0"/>
    <w:rsid w:val="00B24DDF"/>
    <w:rsid w:val="00B63F71"/>
    <w:rsid w:val="00B76BCE"/>
    <w:rsid w:val="00B8635E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15DA"/>
    <w:rsid w:val="00C46408"/>
    <w:rsid w:val="00C47D92"/>
    <w:rsid w:val="00C537EC"/>
    <w:rsid w:val="00C6127E"/>
    <w:rsid w:val="00C64E3B"/>
    <w:rsid w:val="00C71590"/>
    <w:rsid w:val="00CC1465"/>
    <w:rsid w:val="00CD5FB6"/>
    <w:rsid w:val="00CE7047"/>
    <w:rsid w:val="00CF14DB"/>
    <w:rsid w:val="00CF280F"/>
    <w:rsid w:val="00CF36D1"/>
    <w:rsid w:val="00D37104"/>
    <w:rsid w:val="00DA0818"/>
    <w:rsid w:val="00DE14BF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366E6"/>
    <w:rsid w:val="00F76DD2"/>
    <w:rsid w:val="00F80252"/>
    <w:rsid w:val="00FA2551"/>
    <w:rsid w:val="00FC7EDC"/>
    <w:rsid w:val="00FD7632"/>
    <w:rsid w:val="00FD7B2E"/>
    <w:rsid w:val="00FE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4</cp:revision>
  <cp:lastPrinted>2015-04-29T07:40:00Z</cp:lastPrinted>
  <dcterms:created xsi:type="dcterms:W3CDTF">2017-02-22T11:38:00Z</dcterms:created>
  <dcterms:modified xsi:type="dcterms:W3CDTF">2017-10-02T08:09:00Z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